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5103"/>
        <w:gridCol w:w="3544"/>
        <w:gridCol w:w="2982"/>
      </w:tblGrid>
      <w:tr w:rsidR="009B2773" w:rsidTr="00826835">
        <w:trPr>
          <w:trHeight w:val="315"/>
        </w:trPr>
        <w:tc>
          <w:tcPr>
            <w:tcW w:w="1555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984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5103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3544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2982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B234CB" w:rsidTr="00826835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B234CB" w:rsidRPr="00944773" w:rsidRDefault="00944773" w:rsidP="00944773">
            <w:pPr>
              <w:jc w:val="center"/>
              <w:rPr>
                <w:color w:val="000000"/>
              </w:rPr>
            </w:pPr>
            <w:r w:rsidRPr="00944773">
              <w:rPr>
                <w:color w:val="000000"/>
              </w:rPr>
              <w:t>Planlama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34CB" w:rsidRPr="009C096D" w:rsidRDefault="00B234CB" w:rsidP="00B234CB">
            <w:pPr>
              <w:rPr>
                <w:color w:val="000000"/>
                <w:sz w:val="16"/>
                <w:szCs w:val="16"/>
              </w:rPr>
            </w:pPr>
            <w:r w:rsidRPr="00C37B67">
              <w:rPr>
                <w:color w:val="000000"/>
                <w:szCs w:val="16"/>
              </w:rPr>
              <w:t>İlgili Birim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B234CB" w:rsidRPr="009C096D" w:rsidRDefault="00B234CB" w:rsidP="00B234CB">
            <w:pPr>
              <w:rPr>
                <w:color w:val="000000"/>
                <w:sz w:val="22"/>
                <w:szCs w:val="22"/>
              </w:rPr>
            </w:pPr>
          </w:p>
          <w:p w:rsidR="00B234CB" w:rsidRPr="009C096D" w:rsidRDefault="008D2777" w:rsidP="00B234CB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7641DB7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21.75pt;margin-top:98.1pt;width:0;height:50.05pt;z-index:251660288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22"/>
                <w:szCs w:val="22"/>
              </w:rPr>
              <w:pict w14:anchorId="7C918901">
                <v:roundrect id="_x0000_s1026" style="position:absolute;margin-left:50.55pt;margin-top:.9pt;width:144.9pt;height:95.25pt;z-index:251659264" arcsize="10923f">
                  <v:textbox style="mso-next-textbox:#_x0000_s1026">
                    <w:txbxContent>
                      <w:p w:rsidR="00B234CB" w:rsidRDefault="00B234CB" w:rsidP="00315BC9"/>
                      <w:p w:rsidR="00B234CB" w:rsidRDefault="00B234CB" w:rsidP="0094550B">
                        <w:pPr>
                          <w:jc w:val="center"/>
                        </w:pPr>
                        <w:r>
                          <w:t>Çift Anadal,Yandal Programı açılacak bölümlerin belirlenmesi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B234CB" w:rsidRPr="00C37B67" w:rsidRDefault="00B234CB" w:rsidP="00B234CB">
            <w:pPr>
              <w:rPr>
                <w:color w:val="000000"/>
                <w:szCs w:val="16"/>
              </w:rPr>
            </w:pPr>
            <w:r w:rsidRPr="00C37B67">
              <w:rPr>
                <w:color w:val="000000"/>
                <w:szCs w:val="16"/>
              </w:rPr>
              <w:t>İlgili Birim tarafından çift anadal, yandal programı açılacak bölümler, programlarda okutulacak öğretim planları ve öğrenci kontenjanları belirlenir.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:rsidR="00B234CB" w:rsidRPr="00C37B67" w:rsidRDefault="00B234CB" w:rsidP="00B234CB">
            <w:pPr>
              <w:rPr>
                <w:szCs w:val="16"/>
              </w:rPr>
            </w:pPr>
            <w:r w:rsidRPr="00C37B67">
              <w:rPr>
                <w:szCs w:val="16"/>
              </w:rPr>
              <w:t>*Yükseköğretim Kurumları Yatay Geçiş ve Çift Anadal Yönetmeliği</w:t>
            </w:r>
            <w:r w:rsidRPr="00C37B67">
              <w:rPr>
                <w:szCs w:val="16"/>
              </w:rPr>
              <w:br/>
              <w:t>*İKC Önlisans ve Lisans Sınav Yönetmeliği</w:t>
            </w:r>
            <w:r w:rsidRPr="00C37B67">
              <w:rPr>
                <w:szCs w:val="16"/>
              </w:rPr>
              <w:br/>
              <w:t>*İKC Çiftanadal Programına İlişkin Yönerge</w:t>
            </w:r>
            <w:r w:rsidRPr="00C37B67">
              <w:rPr>
                <w:szCs w:val="16"/>
              </w:rPr>
              <w:br/>
              <w:t>*İKC Yandal Programına İlişkin Yönerge</w:t>
            </w:r>
          </w:p>
        </w:tc>
      </w:tr>
      <w:tr w:rsidR="00B234CB" w:rsidTr="00826835">
        <w:trPr>
          <w:trHeight w:val="2716"/>
        </w:trPr>
        <w:tc>
          <w:tcPr>
            <w:tcW w:w="1555" w:type="dxa"/>
            <w:shd w:val="clear" w:color="auto" w:fill="FFFFFF"/>
            <w:vAlign w:val="center"/>
          </w:tcPr>
          <w:p w:rsidR="00B234CB" w:rsidRPr="00944773" w:rsidRDefault="00944773" w:rsidP="00944773">
            <w:pPr>
              <w:jc w:val="center"/>
              <w:rPr>
                <w:color w:val="000000"/>
              </w:rPr>
            </w:pPr>
            <w:r w:rsidRPr="00944773">
              <w:rPr>
                <w:color w:val="000000"/>
              </w:rPr>
              <w:t>Uygulama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34CB" w:rsidRPr="009C096D" w:rsidRDefault="00B234CB" w:rsidP="00B234CB">
            <w:pPr>
              <w:rPr>
                <w:color w:val="000000"/>
                <w:sz w:val="16"/>
                <w:szCs w:val="16"/>
              </w:rPr>
            </w:pPr>
            <w:r w:rsidRPr="00C37B67">
              <w:rPr>
                <w:color w:val="000000"/>
                <w:szCs w:val="16"/>
              </w:rPr>
              <w:t>Birim Personeli</w:t>
            </w:r>
          </w:p>
        </w:tc>
        <w:tc>
          <w:tcPr>
            <w:tcW w:w="5103" w:type="dxa"/>
            <w:shd w:val="clear" w:color="000000" w:fill="FFFFFF"/>
            <w:noWrap/>
            <w:vAlign w:val="bottom"/>
          </w:tcPr>
          <w:p w:rsidR="00B234CB" w:rsidRPr="009C096D" w:rsidRDefault="008D2777" w:rsidP="00B234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51121F81">
                <v:shape id="_x0000_s1029" type="#_x0000_t32" style="position:absolute;left:0;text-align:left;margin-left:122.2pt;margin-top:14.55pt;width:.3pt;height:47pt;z-index:251662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3F4F8748">
                <v:rect id="_x0000_s1028" style="position:absolute;left:0;text-align:left;margin-left:43.2pt;margin-top:-34pt;width:164.95pt;height:44.25pt;z-index:251663360;mso-position-horizontal-relative:text;mso-position-vertical-relative:text">
                  <v:textbox style="mso-next-textbox:#_x0000_s1028">
                    <w:txbxContent>
                      <w:p w:rsidR="00B234CB" w:rsidRDefault="00B234CB" w:rsidP="0094550B">
                        <w:pPr>
                          <w:jc w:val="center"/>
                        </w:pPr>
                      </w:p>
                      <w:p w:rsidR="00B234CB" w:rsidRDefault="00B234CB" w:rsidP="0094550B">
                        <w:pPr>
                          <w:jc w:val="center"/>
                        </w:pPr>
                        <w:r>
                          <w:t>Teklifin Rektörlüğe sunulması</w:t>
                        </w:r>
                      </w:p>
                    </w:txbxContent>
                  </v:textbox>
                </v:rect>
              </w:pict>
            </w:r>
            <w:r w:rsidR="00B234CB" w:rsidRPr="009C096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B234CB" w:rsidRPr="00C37B67" w:rsidRDefault="00B234CB" w:rsidP="00B234CB">
            <w:pPr>
              <w:rPr>
                <w:color w:val="000000"/>
                <w:szCs w:val="16"/>
              </w:rPr>
            </w:pPr>
            <w:r w:rsidRPr="00C37B67">
              <w:rPr>
                <w:color w:val="000000"/>
                <w:szCs w:val="16"/>
              </w:rPr>
              <w:t>Karar üst yazı ile Öğrenci İşleri Daire Başkanlığına gönderilir.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:rsidR="00B234CB" w:rsidRPr="00C37B67" w:rsidRDefault="00B234CB" w:rsidP="00B234CB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B234CB" w:rsidTr="00826835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B234CB" w:rsidRPr="00944773" w:rsidRDefault="00944773" w:rsidP="00944773">
            <w:pPr>
              <w:jc w:val="center"/>
              <w:rPr>
                <w:color w:val="000000"/>
              </w:rPr>
            </w:pPr>
            <w:r w:rsidRPr="00944773">
              <w:rPr>
                <w:color w:val="000000"/>
              </w:rPr>
              <w:t>Uygulama</w:t>
            </w:r>
          </w:p>
          <w:p w:rsidR="00944773" w:rsidRPr="00944773" w:rsidRDefault="00944773" w:rsidP="00944773">
            <w:pPr>
              <w:jc w:val="center"/>
              <w:rPr>
                <w:color w:val="000000"/>
              </w:rPr>
            </w:pPr>
            <w:r w:rsidRPr="00944773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34CB" w:rsidRPr="00C37B67" w:rsidRDefault="00B234CB" w:rsidP="00B234CB">
            <w:pPr>
              <w:rPr>
                <w:color w:val="000000"/>
                <w:szCs w:val="16"/>
              </w:rPr>
            </w:pPr>
            <w:r w:rsidRPr="00C37B67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5103" w:type="dxa"/>
            <w:shd w:val="clear" w:color="000000" w:fill="FFFFFF"/>
            <w:noWrap/>
            <w:vAlign w:val="bottom"/>
          </w:tcPr>
          <w:p w:rsidR="00B234CB" w:rsidRPr="009C096D" w:rsidRDefault="008D2777" w:rsidP="00B234CB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793CA318">
                <v:shape id="_x0000_s1035" type="#_x0000_t32" style="position:absolute;margin-left:30.2pt;margin-top:108.35pt;width:.7pt;height:68.6pt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2649BEC4">
                <v:shape id="_x0000_s1034" type="#_x0000_t32" style="position:absolute;margin-left:155.85pt;margin-top:69.65pt;width:.05pt;height:61.8pt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7628202B">
                <v:roundrect id="_x0000_s1032" style="position:absolute;margin-left:6.3pt;margin-top:84.7pt;width:44.45pt;height:23.15pt;z-index:251667456;mso-position-horizontal-relative:text;mso-position-vertical-relative:text" arcsize="10923f">
                  <v:textbox style="mso-next-textbox:#_x0000_s1032">
                    <w:txbxContent>
                      <w:p w:rsidR="00B234CB" w:rsidRDefault="00B234CB" w:rsidP="00AB0364">
                        <w:r>
                          <w:t>Evet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7C670FF2">
                <v:roundrect id="_x0000_s1033" style="position:absolute;margin-left:160.55pt;margin-top:84.15pt;width:49pt;height:23.15pt;z-index:251668480;mso-position-horizontal-relative:text;mso-position-vertical-relative:text" arcsize="10923f">
                  <v:textbox style="mso-next-textbox:#_x0000_s1033">
                    <w:txbxContent>
                      <w:p w:rsidR="00B234CB" w:rsidRDefault="00B234CB" w:rsidP="00AB0364">
                        <w:r>
                          <w:t>Hayır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18DBC0B6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30" type="#_x0000_t110" style="position:absolute;margin-left:43.25pt;margin-top:3.4pt;width:129.6pt;height:102.8pt;z-index:251669504;mso-position-horizontal-relative:text;mso-position-vertical-relative:text">
                  <v:textbox style="mso-next-textbox:#_x0000_s1030">
                    <w:txbxContent>
                      <w:p w:rsidR="00B234CB" w:rsidRDefault="00B234CB" w:rsidP="0094550B">
                        <w:pPr>
                          <w:jc w:val="center"/>
                        </w:pPr>
                        <w:r>
                          <w:t>Teklif mevzuata</w:t>
                        </w:r>
                      </w:p>
                      <w:p w:rsidR="00B234CB" w:rsidRDefault="00B234CB" w:rsidP="0094550B">
                        <w:pPr>
                          <w:jc w:val="center"/>
                        </w:pPr>
                        <w:r>
                          <w:t>uygun mu ?</w:t>
                        </w:r>
                      </w:p>
                    </w:txbxContent>
                  </v:textbox>
                </v:shape>
              </w:pict>
            </w:r>
            <w:r w:rsidR="00B234CB" w:rsidRPr="009C096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B234CB" w:rsidRPr="00AB0364" w:rsidRDefault="00B234CB" w:rsidP="00B234CB">
            <w:pPr>
              <w:rPr>
                <w:color w:val="000000"/>
                <w:szCs w:val="16"/>
              </w:rPr>
            </w:pPr>
            <w:r w:rsidRPr="00AB0364">
              <w:rPr>
                <w:color w:val="000000"/>
                <w:szCs w:val="16"/>
              </w:rPr>
              <w:t>Öğrenci İşleri Daire Başkanlığı teklifi mevzuata uygunluğu açısından inceler.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:rsidR="00B234CB" w:rsidRPr="009C096D" w:rsidRDefault="00B234CB" w:rsidP="00B234CB">
            <w:pPr>
              <w:rPr>
                <w:sz w:val="16"/>
                <w:szCs w:val="16"/>
              </w:rPr>
            </w:pPr>
            <w:r w:rsidRPr="009C096D">
              <w:rPr>
                <w:sz w:val="16"/>
                <w:szCs w:val="16"/>
              </w:rPr>
              <w:t>*</w:t>
            </w:r>
            <w:r w:rsidRPr="00AB0364">
              <w:rPr>
                <w:szCs w:val="16"/>
              </w:rPr>
              <w:t>Yükseköğretim Kurumları YATAY Geçiş ve Çift Anadal Yönetmeliği</w:t>
            </w:r>
            <w:r w:rsidRPr="00AB0364">
              <w:rPr>
                <w:szCs w:val="16"/>
              </w:rPr>
              <w:br/>
              <w:t>*İKC Önlisans ve Lisans Sınav Yönergesi</w:t>
            </w:r>
            <w:r w:rsidRPr="00AB0364">
              <w:rPr>
                <w:szCs w:val="16"/>
              </w:rPr>
              <w:br/>
              <w:t>*İKC Çiftanadal Programına İlişkin Yönerge</w:t>
            </w:r>
            <w:r w:rsidRPr="00AB0364">
              <w:rPr>
                <w:szCs w:val="16"/>
              </w:rPr>
              <w:br/>
            </w:r>
            <w:r w:rsidRPr="00AB0364">
              <w:rPr>
                <w:szCs w:val="16"/>
              </w:rPr>
              <w:lastRenderedPageBreak/>
              <w:t>*İKC Yandal Programına İlişkin Yönerge</w:t>
            </w:r>
          </w:p>
        </w:tc>
      </w:tr>
      <w:tr w:rsidR="00B234CB" w:rsidTr="00826835">
        <w:trPr>
          <w:trHeight w:val="2630"/>
        </w:trPr>
        <w:tc>
          <w:tcPr>
            <w:tcW w:w="1555" w:type="dxa"/>
            <w:shd w:val="clear" w:color="auto" w:fill="FFFFFF"/>
            <w:vAlign w:val="center"/>
          </w:tcPr>
          <w:p w:rsidR="00944773" w:rsidRPr="00944773" w:rsidRDefault="00944773" w:rsidP="00944773">
            <w:pPr>
              <w:jc w:val="center"/>
              <w:rPr>
                <w:color w:val="000000"/>
              </w:rPr>
            </w:pPr>
            <w:r w:rsidRPr="00944773">
              <w:rPr>
                <w:color w:val="000000"/>
              </w:rPr>
              <w:lastRenderedPageBreak/>
              <w:t>Uygulama</w:t>
            </w:r>
          </w:p>
          <w:p w:rsidR="00B234CB" w:rsidRPr="00944773" w:rsidRDefault="00944773" w:rsidP="00944773">
            <w:pPr>
              <w:jc w:val="center"/>
              <w:rPr>
                <w:color w:val="000000"/>
              </w:rPr>
            </w:pPr>
            <w:r w:rsidRPr="00944773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34CB" w:rsidRPr="009C096D" w:rsidRDefault="00B234CB" w:rsidP="00B234CB">
            <w:pPr>
              <w:rPr>
                <w:color w:val="000000"/>
                <w:sz w:val="16"/>
                <w:szCs w:val="16"/>
              </w:rPr>
            </w:pPr>
            <w:r w:rsidRPr="00C37B67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5103" w:type="dxa"/>
            <w:shd w:val="clear" w:color="000000" w:fill="FFFFFF"/>
            <w:noWrap/>
            <w:vAlign w:val="bottom"/>
          </w:tcPr>
          <w:p w:rsidR="00B234CB" w:rsidRPr="009C096D" w:rsidRDefault="008D2777" w:rsidP="00B234CB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2BF271C8">
                <v:rect id="_x0000_s1036" style="position:absolute;margin-left:16.55pt;margin-top:-48.95pt;width:202.45pt;height:44.25pt;z-index:251673600;mso-position-horizontal-relative:text;mso-position-vertical-relative:text">
                  <v:textbox style="mso-next-textbox:#_x0000_s1036">
                    <w:txbxContent>
                      <w:p w:rsidR="00B234CB" w:rsidRDefault="00B234CB" w:rsidP="0094550B">
                        <w:pPr>
                          <w:jc w:val="center"/>
                        </w:pPr>
                        <w:r>
                          <w:t>Teklifin Senatoya sunulması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0000"/>
                <w:sz w:val="16"/>
                <w:szCs w:val="16"/>
              </w:rPr>
              <w:pict w14:anchorId="417CBB17">
                <v:roundrect id="_x0000_s1031" style="position:absolute;margin-left:59.5pt;margin-top:-109.75pt;width:149.75pt;height:45.2pt;z-index:251670528;mso-position-horizontal-relative:text;mso-position-vertical-relative:text" arcsize="10923f">
                  <v:textbox style="mso-next-textbox:#_x0000_s1031">
                    <w:txbxContent>
                      <w:p w:rsidR="00B234CB" w:rsidRDefault="00B234CB" w:rsidP="0094550B">
                        <w:pPr>
                          <w:jc w:val="center"/>
                        </w:pPr>
                        <w:r>
                          <w:t>İlgili Birimden eksiklikleri tamamlamaları istenir.</w:t>
                        </w:r>
                      </w:p>
                    </w:txbxContent>
                  </v:textbox>
                </v:roundrect>
              </w:pict>
            </w:r>
            <w:r w:rsidR="00B234CB" w:rsidRPr="009C096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B234CB" w:rsidRPr="008C6E75" w:rsidRDefault="00B234CB" w:rsidP="00B234CB">
            <w:pPr>
              <w:rPr>
                <w:color w:val="000000"/>
                <w:szCs w:val="16"/>
              </w:rPr>
            </w:pPr>
            <w:r w:rsidRPr="008C6E75">
              <w:rPr>
                <w:color w:val="000000"/>
                <w:szCs w:val="16"/>
              </w:rPr>
              <w:t>Herhangi bir eksikliği olmadığı anlaşılan teklif üst yazı ile Senato'ya sunulur.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:rsidR="00B234CB" w:rsidRPr="008C6E75" w:rsidRDefault="00B234CB" w:rsidP="00B234CB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</w:p>
        </w:tc>
      </w:tr>
      <w:tr w:rsidR="00B234CB" w:rsidTr="00826835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944773" w:rsidRPr="00944773" w:rsidRDefault="00944773" w:rsidP="00944773">
            <w:pPr>
              <w:jc w:val="center"/>
              <w:rPr>
                <w:color w:val="000000"/>
              </w:rPr>
            </w:pPr>
            <w:r w:rsidRPr="00944773">
              <w:rPr>
                <w:color w:val="000000"/>
              </w:rPr>
              <w:t>Kontrol Etme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34CB" w:rsidRPr="009C096D" w:rsidRDefault="00B234CB" w:rsidP="00B234CB">
            <w:pPr>
              <w:rPr>
                <w:color w:val="000000"/>
                <w:sz w:val="16"/>
                <w:szCs w:val="16"/>
              </w:rPr>
            </w:pPr>
            <w:r w:rsidRPr="00C37B67">
              <w:rPr>
                <w:color w:val="000000"/>
                <w:szCs w:val="16"/>
              </w:rPr>
              <w:t>Senato</w:t>
            </w:r>
          </w:p>
        </w:tc>
        <w:tc>
          <w:tcPr>
            <w:tcW w:w="5103" w:type="dxa"/>
            <w:shd w:val="clear" w:color="000000" w:fill="FFFFFF"/>
            <w:vAlign w:val="bottom"/>
          </w:tcPr>
          <w:p w:rsidR="00B234CB" w:rsidRPr="009C096D" w:rsidRDefault="008D2777" w:rsidP="00B234CB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13CEBACE">
                <v:shape id="_x0000_s1039" type="#_x0000_t32" style="position:absolute;margin-left:74pt;margin-top:61.1pt;width:.05pt;height:38.5pt;z-index:2516756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color w:val="000000"/>
                <w:sz w:val="22"/>
                <w:szCs w:val="22"/>
              </w:rPr>
              <w:pict w14:anchorId="7CE12655">
                <v:shape id="_x0000_s1038" type="#_x0000_t110" style="position:absolute;margin-left:46.05pt;margin-top:2.15pt;width:145.3pt;height:87.05pt;z-index:251676672;mso-position-horizontal-relative:text;mso-position-vertical-relative:text">
                  <v:textbox style="mso-next-textbox:#_x0000_s1038">
                    <w:txbxContent>
                      <w:p w:rsidR="00B234CB" w:rsidRDefault="00B234CB" w:rsidP="0094550B">
                        <w:pPr>
                          <w:jc w:val="center"/>
                        </w:pPr>
                        <w:r>
                          <w:t>Senatonun Teklifi Görüşmesi</w:t>
                        </w:r>
                      </w:p>
                    </w:txbxContent>
                  </v:textbox>
                </v:shape>
              </w:pict>
            </w:r>
            <w:r w:rsidR="00B234CB" w:rsidRPr="009C096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B234CB" w:rsidRPr="008C6E75" w:rsidRDefault="00B234CB" w:rsidP="00B234CB">
            <w:pPr>
              <w:rPr>
                <w:color w:val="000000"/>
                <w:szCs w:val="16"/>
              </w:rPr>
            </w:pPr>
            <w:r w:rsidRPr="008C6E75">
              <w:rPr>
                <w:color w:val="000000"/>
                <w:szCs w:val="16"/>
              </w:rPr>
              <w:t>Senato teklifi görüşür.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:rsidR="00B234CB" w:rsidRPr="008C6E75" w:rsidRDefault="00B234CB" w:rsidP="00B234CB">
            <w:pPr>
              <w:rPr>
                <w:szCs w:val="16"/>
              </w:rPr>
            </w:pPr>
            <w:r w:rsidRPr="008C6E75">
              <w:rPr>
                <w:szCs w:val="16"/>
              </w:rPr>
              <w:t>*Yükseköğretim Kurumları Yatay Geçiş ve Çift Anadal Yönetmeliği</w:t>
            </w:r>
            <w:r w:rsidRPr="008C6E75">
              <w:rPr>
                <w:szCs w:val="16"/>
              </w:rPr>
              <w:br/>
              <w:t>*İKC Önlisans ve Lisans Sınav Yönergesi</w:t>
            </w:r>
            <w:r w:rsidRPr="008C6E75">
              <w:rPr>
                <w:szCs w:val="16"/>
              </w:rPr>
              <w:br/>
              <w:t>*İKC Çiftanadal Programına İlişkin Yönerge</w:t>
            </w:r>
            <w:r w:rsidRPr="008C6E75">
              <w:rPr>
                <w:szCs w:val="16"/>
              </w:rPr>
              <w:br/>
              <w:t>*İKC Yandal Programına İlişkin Yönerge</w:t>
            </w:r>
          </w:p>
        </w:tc>
      </w:tr>
      <w:tr w:rsidR="00B234CB" w:rsidTr="00826835">
        <w:trPr>
          <w:trHeight w:val="1474"/>
        </w:trPr>
        <w:tc>
          <w:tcPr>
            <w:tcW w:w="1555" w:type="dxa"/>
            <w:shd w:val="clear" w:color="auto" w:fill="FFFFFF"/>
            <w:vAlign w:val="center"/>
          </w:tcPr>
          <w:p w:rsidR="00B234CB" w:rsidRPr="00944773" w:rsidRDefault="00944773" w:rsidP="00944773">
            <w:pPr>
              <w:jc w:val="center"/>
              <w:rPr>
                <w:color w:val="000000"/>
              </w:rPr>
            </w:pPr>
            <w:r w:rsidRPr="00944773">
              <w:rPr>
                <w:color w:val="000000"/>
              </w:rPr>
              <w:lastRenderedPageBreak/>
              <w:t>Önlem Alma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B234CB" w:rsidRPr="009C096D" w:rsidRDefault="00B234CB" w:rsidP="00B234CB">
            <w:pPr>
              <w:rPr>
                <w:color w:val="000000"/>
                <w:sz w:val="16"/>
                <w:szCs w:val="16"/>
              </w:rPr>
            </w:pPr>
            <w:r w:rsidRPr="00C37B67">
              <w:rPr>
                <w:color w:val="000000"/>
                <w:szCs w:val="16"/>
              </w:rPr>
              <w:t>ÖİDB Personeli</w:t>
            </w:r>
          </w:p>
        </w:tc>
        <w:tc>
          <w:tcPr>
            <w:tcW w:w="5103" w:type="dxa"/>
            <w:shd w:val="clear" w:color="000000" w:fill="FFFFFF"/>
            <w:vAlign w:val="bottom"/>
          </w:tcPr>
          <w:p w:rsidR="00B234CB" w:rsidRPr="009C096D" w:rsidRDefault="008D2777" w:rsidP="00B234CB">
            <w:pPr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pict w14:anchorId="6917EF2B">
                <v:roundrect id="_x0000_s1040" style="position:absolute;margin-left:28.7pt;margin-top:-83.95pt;width:194.55pt;height:63.05pt;z-index:251678720;mso-position-horizontal-relative:text;mso-position-vertical-relative:text" arcsize="10923f">
                  <v:textbox style="mso-next-textbox:#_x0000_s1040">
                    <w:txbxContent>
                      <w:p w:rsidR="00B234CB" w:rsidRDefault="00B234CB" w:rsidP="0094550B">
                        <w:pPr>
                          <w:jc w:val="center"/>
                        </w:pPr>
                        <w:r>
                          <w:t>Karar ilgili birime bildirilir ve gerekli ilan web sitesinden yayınlanır, işlem sonlandırılır.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B234CB" w:rsidRPr="00950FC4" w:rsidRDefault="00B234CB" w:rsidP="00B234CB">
            <w:pPr>
              <w:rPr>
                <w:color w:val="000000"/>
                <w:szCs w:val="16"/>
              </w:rPr>
            </w:pPr>
            <w:r w:rsidRPr="00950FC4">
              <w:rPr>
                <w:color w:val="000000"/>
                <w:szCs w:val="16"/>
              </w:rPr>
              <w:t>Teklif uygun görüldükten sonra karar ilgili birime gönderilir, öğrenci o</w:t>
            </w:r>
            <w:r>
              <w:rPr>
                <w:color w:val="000000"/>
                <w:szCs w:val="16"/>
              </w:rPr>
              <w:t>t</w:t>
            </w:r>
            <w:r w:rsidRPr="00950FC4">
              <w:rPr>
                <w:color w:val="000000"/>
                <w:szCs w:val="16"/>
              </w:rPr>
              <w:t>omasyon sistemi üzerinden öğretim planları oluşturulur ve başvuru ve değerlendirme takviminin de yer aldığı başvuru şartları ve kontenjan duyurusu Üniversite web sitesinden ilan edilir.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:rsidR="00B234CB" w:rsidRPr="00950FC4" w:rsidRDefault="00B234CB" w:rsidP="00B234CB">
            <w:pPr>
              <w:rPr>
                <w:szCs w:val="16"/>
              </w:rPr>
            </w:pPr>
            <w:r>
              <w:rPr>
                <w:color w:val="000000"/>
                <w:szCs w:val="16"/>
              </w:rPr>
              <w:t>*İKC-UBS Elektronik Belge Yönetim Sistemi</w:t>
            </w:r>
            <w:r w:rsidRPr="00950FC4">
              <w:rPr>
                <w:szCs w:val="16"/>
              </w:rPr>
              <w:br/>
            </w:r>
            <w:r w:rsidRPr="00950FC4">
              <w:rPr>
                <w:szCs w:val="16"/>
              </w:rPr>
              <w:br/>
              <w:t>*İKC Bilgi İşlem Duyuru İstek Formu</w:t>
            </w:r>
          </w:p>
        </w:tc>
      </w:tr>
    </w:tbl>
    <w:p w:rsidR="00A40877" w:rsidRDefault="00A40877" w:rsidP="00B234CB">
      <w:pPr>
        <w:tabs>
          <w:tab w:val="left" w:pos="1290"/>
        </w:tabs>
      </w:pPr>
    </w:p>
    <w:sectPr w:rsidR="00A40877" w:rsidSect="00D6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777" w:rsidRDefault="008D2777">
      <w:r>
        <w:separator/>
      </w:r>
    </w:p>
  </w:endnote>
  <w:endnote w:type="continuationSeparator" w:id="0">
    <w:p w:rsidR="008D2777" w:rsidRDefault="008D2777">
      <w:r>
        <w:continuationSeparator/>
      </w:r>
    </w:p>
  </w:endnote>
  <w:endnote w:id="1">
    <w:p w:rsidR="00797AE3" w:rsidRDefault="00797AE3">
      <w:pPr>
        <w:pStyle w:val="SonnotMetni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230" w:rsidRDefault="0077623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AE3" w:rsidRDefault="00797AE3">
    <w:pPr>
      <w:pStyle w:val="Altbilgi"/>
    </w:pPr>
  </w:p>
  <w:p w:rsidR="00000000" w:rsidRDefault="008D2777"/>
  <w:p w:rsidR="00164C17" w:rsidRDefault="008D2777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230" w:rsidRDefault="0077623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777" w:rsidRDefault="008D2777">
      <w:r>
        <w:separator/>
      </w:r>
    </w:p>
  </w:footnote>
  <w:footnote w:type="continuationSeparator" w:id="0">
    <w:p w:rsidR="008D2777" w:rsidRDefault="008D2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230" w:rsidRDefault="0077623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8"/>
      <w:gridCol w:w="8278"/>
      <w:gridCol w:w="3766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bookmarkStart w:id="0" w:name="_GoBack"/>
          <w:r>
            <w:rPr>
              <w:b/>
              <w:bCs/>
              <w:sz w:val="20"/>
              <w:szCs w:val="20"/>
            </w:rPr>
            <w:t>ÇİFT ANADAL YAN DAL İŞ AKIŞ ŞEMASI</w:t>
          </w:r>
          <w:bookmarkEnd w:id="0"/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İA/OIDB/05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25.08.2017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01/4.10.2022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76230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76230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230" w:rsidRDefault="0077623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FE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74D9D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3B9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15BC9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5D27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6230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6835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2777"/>
    <w:rsid w:val="008D315B"/>
    <w:rsid w:val="008E3E1F"/>
    <w:rsid w:val="00900AF5"/>
    <w:rsid w:val="00905D19"/>
    <w:rsid w:val="00917FCC"/>
    <w:rsid w:val="009305C9"/>
    <w:rsid w:val="009367E7"/>
    <w:rsid w:val="009439D9"/>
    <w:rsid w:val="00944773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34CB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87FAF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21F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2AFE"/>
    <w:rsid w:val="00D66507"/>
    <w:rsid w:val="00D66B9D"/>
    <w:rsid w:val="00D66BBC"/>
    <w:rsid w:val="00D6791E"/>
    <w:rsid w:val="00D75087"/>
    <w:rsid w:val="00D9061A"/>
    <w:rsid w:val="00D937C8"/>
    <w:rsid w:val="00D96295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74F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4"/>
        <o:r id="V:Rule4" type="connector" idref="#_x0000_s1039"/>
        <o:r id="V:Rule5" type="connector" idref="#_x0000_s1035"/>
      </o:rules>
    </o:shapelayout>
  </w:shapeDefaults>
  <w:decimalSymbol w:val=","/>
  <w:listSeparator w:val=";"/>
  <w15:chartTrackingRefBased/>
  <w15:docId w15:val="{2F3DB251-8949-4B92-9A93-1D9B45E7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BA9E-707E-4C0B-979D-FB301148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Asus6410</dc:creator>
  <cp:keywords/>
  <cp:lastModifiedBy>Dell</cp:lastModifiedBy>
  <cp:revision>2</cp:revision>
  <cp:lastPrinted>2018-09-24T13:03:00Z</cp:lastPrinted>
  <dcterms:created xsi:type="dcterms:W3CDTF">2022-10-04T11:35:00Z</dcterms:created>
  <dcterms:modified xsi:type="dcterms:W3CDTF">2022-10-04T11:35:00Z</dcterms:modified>
</cp:coreProperties>
</file>