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3D5C53">
        <w:rPr>
          <w:b/>
        </w:rPr>
        <w:t xml:space="preserve"> 2018/07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3D5C53">
        <w:rPr>
          <w:b/>
        </w:rPr>
        <w:t>13.06</w:t>
      </w:r>
      <w:r w:rsidR="00571E44">
        <w:rPr>
          <w:b/>
        </w:rPr>
        <w:t>.</w:t>
      </w:r>
      <w:r w:rsidR="006160CE">
        <w:rPr>
          <w:b/>
        </w:rPr>
        <w:t>2018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3D5C53">
        <w:rPr>
          <w:sz w:val="22"/>
          <w:szCs w:val="22"/>
        </w:rPr>
        <w:t>13 Haziran</w:t>
      </w:r>
      <w:r w:rsidR="00D400A2">
        <w:rPr>
          <w:sz w:val="22"/>
          <w:szCs w:val="22"/>
        </w:rPr>
        <w:t xml:space="preserve"> 2018</w:t>
      </w:r>
      <w:r w:rsidR="00F624BE" w:rsidRPr="005F03C5">
        <w:rPr>
          <w:sz w:val="22"/>
          <w:szCs w:val="22"/>
        </w:rPr>
        <w:t xml:space="preserve"> </w:t>
      </w:r>
      <w:r w:rsidR="003D5C53">
        <w:rPr>
          <w:sz w:val="22"/>
          <w:szCs w:val="22"/>
        </w:rPr>
        <w:t>Çarşamba</w:t>
      </w:r>
      <w:r w:rsidR="00061CA0" w:rsidRPr="005F03C5">
        <w:rPr>
          <w:sz w:val="22"/>
          <w:szCs w:val="22"/>
        </w:rPr>
        <w:t xml:space="preserve"> günü saat </w:t>
      </w:r>
      <w:r w:rsidR="003D5C53">
        <w:rPr>
          <w:sz w:val="22"/>
          <w:szCs w:val="22"/>
        </w:rPr>
        <w:t>15</w:t>
      </w:r>
      <w:r w:rsidR="00642B68">
        <w:rPr>
          <w:sz w:val="22"/>
          <w:szCs w:val="22"/>
        </w:rPr>
        <w:t>.0</w:t>
      </w:r>
      <w:r w:rsidR="00195CF6" w:rsidRPr="005F03C5">
        <w:rPr>
          <w:sz w:val="22"/>
          <w:szCs w:val="22"/>
        </w:rPr>
        <w:t>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853924" w:rsidRPr="005F03C5" w:rsidRDefault="00853924" w:rsidP="005F03C5">
      <w:pPr>
        <w:pStyle w:val="msobodytextindent"/>
        <w:rPr>
          <w:sz w:val="22"/>
          <w:szCs w:val="22"/>
        </w:rPr>
      </w:pPr>
    </w:p>
    <w:p w:rsidR="002F0828" w:rsidRPr="005F03C5" w:rsidRDefault="002F0828" w:rsidP="005F03C5">
      <w:pPr>
        <w:pStyle w:val="msobodytextindent"/>
        <w:rPr>
          <w:sz w:val="22"/>
          <w:szCs w:val="22"/>
        </w:rPr>
      </w:pPr>
    </w:p>
    <w:p w:rsidR="00642B68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642B68" w:rsidRDefault="00642B68" w:rsidP="00642B68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AD278B" w:rsidRDefault="00AD278B" w:rsidP="00642B68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AD278B" w:rsidRDefault="00AD278B" w:rsidP="00642B68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p w:rsidR="003D5C53" w:rsidRPr="00837589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37589">
        <w:rPr>
          <w:bCs/>
          <w:color w:val="000000" w:themeColor="text1"/>
          <w:sz w:val="24"/>
          <w:szCs w:val="24"/>
          <w:lang w:eastAsia="tr-TR"/>
        </w:rPr>
        <w:t>Üniversitemiz 2018-2019 Eğitim-Öğretim Yılı Güz Yarıyılı Fen Bilimleri Enstitüsü Lisansüstü Programlarına Öğrenci Alımı, Kontenjan Ve B</w:t>
      </w:r>
      <w:r>
        <w:rPr>
          <w:bCs/>
          <w:color w:val="000000" w:themeColor="text1"/>
          <w:sz w:val="24"/>
          <w:szCs w:val="24"/>
          <w:lang w:eastAsia="tr-TR"/>
        </w:rPr>
        <w:t>aşvuru Koşulları görüşülmüş olup, konu Üniversitemiz Senatosu arzına uygun görüldü.</w:t>
      </w:r>
    </w:p>
    <w:p w:rsidR="003D5C53" w:rsidRPr="00837589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37589">
        <w:rPr>
          <w:bCs/>
          <w:color w:val="000000" w:themeColor="text1"/>
          <w:sz w:val="24"/>
          <w:szCs w:val="24"/>
          <w:lang w:eastAsia="tr-TR"/>
        </w:rPr>
        <w:t>Üniversitemiz 2018-2019 Eğitim-Öğretim Yılı Güz Yarıyılı Sağlık Bilimleri Enstitüsü Lisansüstü Programlarına Öğrenci Alımı, Kontenjan Ve</w:t>
      </w:r>
      <w:r>
        <w:rPr>
          <w:bCs/>
          <w:color w:val="000000" w:themeColor="text1"/>
          <w:sz w:val="24"/>
          <w:szCs w:val="24"/>
          <w:lang w:eastAsia="tr-TR"/>
        </w:rPr>
        <w:t xml:space="preserve"> Başvuru Koşulları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Pr="00837589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37589">
        <w:rPr>
          <w:color w:val="000000" w:themeColor="text1"/>
          <w:sz w:val="24"/>
          <w:szCs w:val="24"/>
        </w:rPr>
        <w:t xml:space="preserve">Üniversitemiz Tıp Fakültesi Lisans Programı 2012 öğretim planında </w:t>
      </w:r>
      <w:r>
        <w:rPr>
          <w:color w:val="000000" w:themeColor="text1"/>
          <w:sz w:val="24"/>
          <w:szCs w:val="24"/>
        </w:rPr>
        <w:t>Dönem 3-</w:t>
      </w:r>
      <w:r w:rsidRPr="00837589">
        <w:rPr>
          <w:color w:val="000000" w:themeColor="text1"/>
          <w:sz w:val="24"/>
          <w:szCs w:val="24"/>
        </w:rPr>
        <w:t>2. Yarıyıl Bölüm Seçmeli Dersleri Havuzuna 2018/2019 Eğitim Öğretim Yılından itibaren okutulması teklif edilen “</w:t>
      </w:r>
      <w:proofErr w:type="spellStart"/>
      <w:r w:rsidRPr="00837589">
        <w:rPr>
          <w:color w:val="000000" w:themeColor="text1"/>
          <w:sz w:val="24"/>
          <w:szCs w:val="24"/>
        </w:rPr>
        <w:t>Fitoterapi</w:t>
      </w:r>
      <w:proofErr w:type="spellEnd"/>
      <w:r w:rsidRPr="00837589">
        <w:rPr>
          <w:color w:val="000000" w:themeColor="text1"/>
          <w:sz w:val="24"/>
          <w:szCs w:val="24"/>
        </w:rPr>
        <w:t xml:space="preserve"> Uygulamaları” seçmeli </w:t>
      </w:r>
      <w:r>
        <w:rPr>
          <w:color w:val="000000" w:themeColor="text1"/>
          <w:sz w:val="24"/>
          <w:szCs w:val="24"/>
        </w:rPr>
        <w:t xml:space="preserve">dersi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Pr="00837589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37589">
        <w:rPr>
          <w:color w:val="000000" w:themeColor="text1"/>
          <w:sz w:val="24"/>
          <w:szCs w:val="24"/>
        </w:rPr>
        <w:t>Üniversitemiz İslami İlimler Fakültesi Lisans (Türkçe) ve Lisans (%30 Arapça) Programlarının öğretim planlarında yer alan “Öğretim Teknolojileri ve Materyal Geliştirme” dersinin adının “Öğretim Teknolojileri ve Materyal Tasarım” olarak değiştirilmesi</w:t>
      </w:r>
      <w:r>
        <w:rPr>
          <w:color w:val="000000" w:themeColor="text1"/>
          <w:sz w:val="24"/>
          <w:szCs w:val="24"/>
        </w:rPr>
        <w:t xml:space="preserve"> teklifi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Pr="00837589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37589">
        <w:rPr>
          <w:color w:val="000000" w:themeColor="text1"/>
          <w:sz w:val="24"/>
          <w:szCs w:val="24"/>
        </w:rPr>
        <w:t xml:space="preserve">Üniversitemiz Fen Bilimleri Enstitüsü Malzeme Bilimi ve Mühendisliği Anabilim Dalı Malzeme Bilimi ve Mühendisliği Tezli Yüksek Lisans Programı </w:t>
      </w:r>
      <w:r>
        <w:rPr>
          <w:color w:val="000000" w:themeColor="text1"/>
          <w:sz w:val="24"/>
          <w:szCs w:val="24"/>
        </w:rPr>
        <w:t xml:space="preserve">açılması teklifi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Pr="00837589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37589">
        <w:rPr>
          <w:color w:val="000000" w:themeColor="text1"/>
          <w:sz w:val="24"/>
          <w:szCs w:val="24"/>
        </w:rPr>
        <w:t xml:space="preserve">2018/2019 Eğitim Öğretim Yılından itibari </w:t>
      </w:r>
      <w:proofErr w:type="gramStart"/>
      <w:r w:rsidRPr="00837589">
        <w:rPr>
          <w:color w:val="000000" w:themeColor="text1"/>
          <w:sz w:val="24"/>
          <w:szCs w:val="24"/>
        </w:rPr>
        <w:t>ile;</w:t>
      </w:r>
      <w:proofErr w:type="gramEnd"/>
      <w:r w:rsidRPr="00837589">
        <w:rPr>
          <w:color w:val="000000" w:themeColor="text1"/>
          <w:sz w:val="24"/>
          <w:szCs w:val="24"/>
        </w:rPr>
        <w:t xml:space="preserve"> Üniversitemiz Sosyal ve Beşeri Bilimler Fakültesi Medya ve İletişim Bölümü Lisans Programı 2014 öğretim planı</w:t>
      </w:r>
      <w:r>
        <w:rPr>
          <w:color w:val="000000" w:themeColor="text1"/>
          <w:sz w:val="24"/>
          <w:szCs w:val="24"/>
        </w:rPr>
        <w:t xml:space="preserve"> 2, 3 ve 4. Yarıyılında haftalık ders saatleri</w:t>
      </w:r>
      <w:r w:rsidRPr="00837589">
        <w:rPr>
          <w:color w:val="000000" w:themeColor="text1"/>
          <w:sz w:val="24"/>
          <w:szCs w:val="24"/>
        </w:rPr>
        <w:t xml:space="preserve"> değiştirilmesi </w:t>
      </w:r>
      <w:r>
        <w:rPr>
          <w:color w:val="000000" w:themeColor="text1"/>
          <w:sz w:val="24"/>
          <w:szCs w:val="24"/>
        </w:rPr>
        <w:t xml:space="preserve">önerilen dersler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  <w:r w:rsidRPr="00837589">
        <w:rPr>
          <w:color w:val="000000" w:themeColor="text1"/>
          <w:sz w:val="24"/>
          <w:szCs w:val="24"/>
        </w:rPr>
        <w:t xml:space="preserve"> </w:t>
      </w:r>
    </w:p>
    <w:p w:rsidR="003D5C53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37589">
        <w:rPr>
          <w:color w:val="000000" w:themeColor="text1"/>
          <w:sz w:val="24"/>
          <w:szCs w:val="24"/>
        </w:rPr>
        <w:t xml:space="preserve">Üniversitemiz Sosyal ve Beşeri Bilimler Fakültesi Medya ve İletişim Bölümü Lisans Programı 2014 öğretim planına 7 ve 8. yarıyılların </w:t>
      </w:r>
      <w:r>
        <w:rPr>
          <w:color w:val="000000" w:themeColor="text1"/>
          <w:sz w:val="24"/>
          <w:szCs w:val="24"/>
        </w:rPr>
        <w:t xml:space="preserve">eklenmesi hususu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837589">
        <w:rPr>
          <w:color w:val="000000" w:themeColor="text1"/>
          <w:sz w:val="24"/>
          <w:szCs w:val="24"/>
        </w:rPr>
        <w:t>Üniversitemiz Sosyal ve Beşeri Bilimler Fakültesi</w:t>
      </w:r>
      <w:r>
        <w:rPr>
          <w:color w:val="000000" w:themeColor="text1"/>
          <w:sz w:val="24"/>
          <w:szCs w:val="24"/>
        </w:rPr>
        <w:t xml:space="preserve"> </w:t>
      </w:r>
      <w:r w:rsidRPr="00837589">
        <w:rPr>
          <w:color w:val="000000" w:themeColor="text1"/>
          <w:sz w:val="24"/>
          <w:szCs w:val="24"/>
        </w:rPr>
        <w:t>Medya ve İletişim Bölümü Lisans Programı</w:t>
      </w:r>
      <w:r>
        <w:rPr>
          <w:color w:val="000000" w:themeColor="text1"/>
          <w:sz w:val="24"/>
          <w:szCs w:val="24"/>
        </w:rPr>
        <w:t xml:space="preserve"> 2014 öğretim planı 6. Yarıyılın sonunda yer alan “”MED330 Yaz </w:t>
      </w:r>
      <w:proofErr w:type="spellStart"/>
      <w:r>
        <w:rPr>
          <w:color w:val="000000" w:themeColor="text1"/>
          <w:sz w:val="24"/>
          <w:szCs w:val="24"/>
        </w:rPr>
        <w:t>St</w:t>
      </w:r>
      <w:r>
        <w:rPr>
          <w:color w:val="000000" w:themeColor="text1"/>
          <w:sz w:val="24"/>
          <w:szCs w:val="24"/>
        </w:rPr>
        <w:t>ajı”nın</w:t>
      </w:r>
      <w:proofErr w:type="spellEnd"/>
      <w:r>
        <w:rPr>
          <w:color w:val="000000" w:themeColor="text1"/>
          <w:sz w:val="24"/>
          <w:szCs w:val="24"/>
        </w:rPr>
        <w:t xml:space="preserve"> kaldırılması teklifi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Pr="00D20FBA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D20FBA">
        <w:rPr>
          <w:color w:val="000000"/>
          <w:sz w:val="24"/>
          <w:szCs w:val="24"/>
          <w:shd w:val="clear" w:color="auto" w:fill="FDFDFD"/>
        </w:rPr>
        <w:t>7143 Sayılı Kanunun 15’inci Maddesi ile 2547 Sayılı Kanuna Eklenen Geçici 78’inci Madde Kapsamında Yükseköğretim Kurulu Başkanlığı tarafından belirlene</w:t>
      </w:r>
      <w:r>
        <w:rPr>
          <w:color w:val="000000"/>
          <w:sz w:val="24"/>
          <w:szCs w:val="24"/>
          <w:shd w:val="clear" w:color="auto" w:fill="FDFDFD"/>
        </w:rPr>
        <w:t xml:space="preserve">n usul ve esaslar </w:t>
      </w:r>
      <w:r>
        <w:rPr>
          <w:bCs/>
          <w:color w:val="000000" w:themeColor="text1"/>
          <w:sz w:val="24"/>
          <w:szCs w:val="24"/>
          <w:lang w:eastAsia="tr-TR"/>
        </w:rPr>
        <w:t>gö</w:t>
      </w:r>
      <w:r>
        <w:rPr>
          <w:bCs/>
          <w:color w:val="000000" w:themeColor="text1"/>
          <w:sz w:val="24"/>
          <w:szCs w:val="24"/>
          <w:lang w:eastAsia="tr-TR"/>
        </w:rPr>
        <w:t>rüşüldü.</w:t>
      </w:r>
    </w:p>
    <w:p w:rsidR="003D5C53" w:rsidRPr="005734AD" w:rsidRDefault="003D5C53" w:rsidP="003D5C53">
      <w:pPr>
        <w:pStyle w:val="ListeParagraf"/>
        <w:numPr>
          <w:ilvl w:val="0"/>
          <w:numId w:val="18"/>
        </w:numPr>
        <w:jc w:val="both"/>
        <w:rPr>
          <w:color w:val="000000" w:themeColor="text1"/>
          <w:sz w:val="24"/>
          <w:szCs w:val="24"/>
        </w:rPr>
      </w:pPr>
      <w:r w:rsidRPr="00D20FBA">
        <w:rPr>
          <w:color w:val="000000"/>
          <w:sz w:val="24"/>
          <w:szCs w:val="24"/>
          <w:shd w:val="clear" w:color="auto" w:fill="FDFDFD"/>
        </w:rPr>
        <w:t>İzmir Kâtip Çelebi Üniversitesi 7143 Sayılı Kanunun 15’inci Maddesi ile 2547 Sayılı Kanuna Eklenen Geçici 78’inci Madde Kapsamında Yatay Geçiş Yapaca</w:t>
      </w:r>
      <w:r>
        <w:rPr>
          <w:color w:val="000000"/>
          <w:sz w:val="24"/>
          <w:szCs w:val="24"/>
          <w:shd w:val="clear" w:color="auto" w:fill="FDFDFD"/>
        </w:rPr>
        <w:t xml:space="preserve">klarla İlgili </w:t>
      </w:r>
      <w:r>
        <w:rPr>
          <w:color w:val="000000"/>
          <w:sz w:val="24"/>
          <w:szCs w:val="24"/>
          <w:shd w:val="clear" w:color="auto" w:fill="FDFDFD"/>
        </w:rPr>
        <w:lastRenderedPageBreak/>
        <w:t xml:space="preserve">Usul Ve Esaslar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Default="003D5C53" w:rsidP="003D5C53">
      <w:pPr>
        <w:pStyle w:val="ListeParagraf"/>
        <w:ind w:left="1647"/>
        <w:jc w:val="both"/>
        <w:rPr>
          <w:color w:val="000000"/>
          <w:sz w:val="24"/>
          <w:szCs w:val="24"/>
          <w:shd w:val="clear" w:color="auto" w:fill="FDFDFD"/>
        </w:rPr>
      </w:pPr>
    </w:p>
    <w:p w:rsidR="003D5C53" w:rsidRDefault="003D5C53" w:rsidP="003D5C53">
      <w:pPr>
        <w:pStyle w:val="ListeParagraf"/>
        <w:ind w:left="1647"/>
        <w:jc w:val="both"/>
        <w:rPr>
          <w:color w:val="000000"/>
          <w:sz w:val="24"/>
          <w:szCs w:val="24"/>
          <w:shd w:val="clear" w:color="auto" w:fill="FDFDFD"/>
        </w:rPr>
      </w:pPr>
      <w:r>
        <w:rPr>
          <w:color w:val="000000"/>
          <w:sz w:val="24"/>
          <w:szCs w:val="24"/>
          <w:shd w:val="clear" w:color="auto" w:fill="FDFDFD"/>
        </w:rPr>
        <w:t>EK GÜNDEM</w:t>
      </w:r>
    </w:p>
    <w:p w:rsidR="003D5C53" w:rsidRPr="00934693" w:rsidRDefault="003D5C53" w:rsidP="003D5C53">
      <w:pPr>
        <w:pStyle w:val="ListeParagraf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shd w:val="clear" w:color="auto" w:fill="FDFDFD"/>
        </w:rPr>
        <w:t>Üniversitemiz Sosyal ve Beşeri Bilimler Fakültesi Sosyoloji Bölümü Lisans Programı 2014 öğretim planı ile 2017 öğretim planı arasında uyum sağlanması amacıyla teklif edilen 2014 öğretim planı ve 2017 öğretim p</w:t>
      </w:r>
      <w:r>
        <w:rPr>
          <w:color w:val="000000"/>
          <w:sz w:val="24"/>
          <w:szCs w:val="24"/>
          <w:shd w:val="clear" w:color="auto" w:fill="FDFDFD"/>
        </w:rPr>
        <w:t xml:space="preserve">lanı değişikliği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Pr="00D574DF" w:rsidRDefault="003D5C53" w:rsidP="003D5C53">
      <w:pPr>
        <w:pStyle w:val="ListeParagraf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shd w:val="clear" w:color="auto" w:fill="FDFDFD"/>
        </w:rPr>
        <w:t>“İzmir Kâtip Çelebi Üniversitesi Sinir Bilimleri Araştırma Merkezi” açılması teklifi</w:t>
      </w:r>
      <w:r>
        <w:rPr>
          <w:color w:val="000000"/>
          <w:sz w:val="24"/>
          <w:szCs w:val="24"/>
          <w:shd w:val="clear" w:color="auto" w:fill="FDFDFD"/>
        </w:rPr>
        <w:t xml:space="preserve">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Pr="00D574DF" w:rsidRDefault="003D5C53" w:rsidP="003D5C53">
      <w:pPr>
        <w:pStyle w:val="ListeParagraf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shd w:val="clear" w:color="auto" w:fill="FDFDFD"/>
        </w:rPr>
        <w:t>2018/2019 Eğitim Öğretim Yılı Güz Yarıyılında Üniversitemiz yükseköğretim programlarına Ek Madde-1 (Merkezi Yerleştirme puanı ile) kapsamında yatay geçiş yoluyla alınacak öğrenci kon</w:t>
      </w:r>
      <w:r>
        <w:rPr>
          <w:color w:val="000000"/>
          <w:sz w:val="24"/>
          <w:szCs w:val="24"/>
          <w:shd w:val="clear" w:color="auto" w:fill="FDFDFD"/>
        </w:rPr>
        <w:t xml:space="preserve">tenjan önerileri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Pr="00692AC8" w:rsidRDefault="003D5C53" w:rsidP="003D5C53">
      <w:pPr>
        <w:pStyle w:val="ListeParagraf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shd w:val="clear" w:color="auto" w:fill="FDFDFD"/>
        </w:rPr>
        <w:t>2018/2019 Eğitim Öğretim Yılı Güz Yarıyılında Üniversitemiz yükseköğretim programlarına kurumlar arası ilave, kurum içi ve yurtdışından yatay geçiş kapsamında alınacak öğrenci kon</w:t>
      </w:r>
      <w:r>
        <w:rPr>
          <w:color w:val="000000"/>
          <w:sz w:val="24"/>
          <w:szCs w:val="24"/>
          <w:shd w:val="clear" w:color="auto" w:fill="FDFDFD"/>
        </w:rPr>
        <w:t xml:space="preserve">tenjan önerileri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3D5C53" w:rsidRPr="00D20FBA" w:rsidRDefault="003D5C53" w:rsidP="003D5C53">
      <w:pPr>
        <w:pStyle w:val="ListeParagraf"/>
        <w:numPr>
          <w:ilvl w:val="0"/>
          <w:numId w:val="19"/>
        </w:numPr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shd w:val="clear" w:color="auto" w:fill="FDFDFD"/>
        </w:rPr>
        <w:t xml:space="preserve">2018/2019 Eğitim Öğretim Yılı Güz ve Bahar Yarıyıllarında Üniversitemiz Çift </w:t>
      </w:r>
      <w:proofErr w:type="spellStart"/>
      <w:r>
        <w:rPr>
          <w:color w:val="000000"/>
          <w:sz w:val="24"/>
          <w:szCs w:val="24"/>
          <w:shd w:val="clear" w:color="auto" w:fill="FDFDFD"/>
        </w:rPr>
        <w:t>Anadal</w:t>
      </w:r>
      <w:proofErr w:type="spellEnd"/>
      <w:r>
        <w:rPr>
          <w:color w:val="000000"/>
          <w:sz w:val="24"/>
          <w:szCs w:val="24"/>
          <w:shd w:val="clear" w:color="auto" w:fill="FDFDFD"/>
        </w:rPr>
        <w:t xml:space="preserve"> ve Yan Dal Programları </w:t>
      </w:r>
      <w:r>
        <w:rPr>
          <w:color w:val="000000"/>
          <w:sz w:val="24"/>
          <w:szCs w:val="24"/>
          <w:shd w:val="clear" w:color="auto" w:fill="FDFDFD"/>
        </w:rPr>
        <w:t xml:space="preserve">kontenjan önerileri </w:t>
      </w:r>
      <w:r>
        <w:rPr>
          <w:bCs/>
          <w:color w:val="000000" w:themeColor="text1"/>
          <w:sz w:val="24"/>
          <w:szCs w:val="24"/>
          <w:lang w:eastAsia="tr-TR"/>
        </w:rPr>
        <w:t>görüşülmüş olup, konu Üniversitemiz Senatosu arzına uygun görüldü.</w:t>
      </w:r>
    </w:p>
    <w:p w:rsidR="00665365" w:rsidRPr="00DD0FA3" w:rsidRDefault="00665365" w:rsidP="00665365">
      <w:pPr>
        <w:pStyle w:val="ListeParagraf"/>
        <w:ind w:left="1287"/>
        <w:jc w:val="both"/>
        <w:rPr>
          <w:color w:val="000000" w:themeColor="text1"/>
          <w:sz w:val="24"/>
          <w:szCs w:val="24"/>
        </w:rPr>
      </w:pPr>
    </w:p>
    <w:p w:rsidR="00642B68" w:rsidRPr="00345FCD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642B68" w:rsidTr="004B47FA">
        <w:trPr>
          <w:trHeight w:val="247"/>
        </w:trPr>
        <w:tc>
          <w:tcPr>
            <w:tcW w:w="9319" w:type="dxa"/>
          </w:tcPr>
          <w:p w:rsidR="00642B68" w:rsidRDefault="00642B68" w:rsidP="004B47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62143" w:rsidRDefault="00A62143" w:rsidP="005F03C5">
      <w:pPr>
        <w:pStyle w:val="ListeParagraf"/>
        <w:ind w:left="1778"/>
        <w:jc w:val="both"/>
        <w:rPr>
          <w:sz w:val="24"/>
          <w:szCs w:val="24"/>
        </w:rPr>
      </w:pPr>
    </w:p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6B693B" w:rsidRDefault="006B693B" w:rsidP="005F03C5"/>
    <w:p w:rsidR="00195CF6" w:rsidRDefault="00195CF6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>
      <w:bookmarkStart w:id="1" w:name="_GoBack"/>
      <w:bookmarkEnd w:id="1"/>
    </w:p>
    <w:p w:rsidR="003D5C53" w:rsidRDefault="003D5C53" w:rsidP="00665365"/>
    <w:p w:rsidR="003D5C53" w:rsidRDefault="003D5C53" w:rsidP="00665365"/>
    <w:p w:rsidR="003D5C53" w:rsidRPr="00665365" w:rsidRDefault="003D5C53" w:rsidP="00665365"/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3D5C53">
        <w:rPr>
          <w:b/>
        </w:rPr>
        <w:t xml:space="preserve"> 2018/07</w:t>
      </w:r>
      <w:r w:rsidRPr="00B66F61">
        <w:rPr>
          <w:b/>
        </w:rPr>
        <w:tab/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3D5C53">
        <w:rPr>
          <w:b/>
        </w:rPr>
        <w:t>13.06</w:t>
      </w:r>
      <w:r w:rsidR="00D400A2">
        <w:rPr>
          <w:b/>
        </w:rPr>
        <w:t>.2018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r>
        <w:rPr>
          <w:b/>
        </w:rPr>
        <w:t>ORMAN FAKÜLTESİ</w:t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B64975">
        <w:rPr>
          <w:b/>
        </w:rPr>
        <w:t>SAĞLIK BİLİMLERİ FAKÜLTESİ</w:t>
      </w:r>
      <w:r w:rsidR="006E66F7">
        <w:rPr>
          <w:b/>
        </w:rPr>
        <w:t xml:space="preserve"> </w:t>
      </w:r>
    </w:p>
    <w:p w:rsidR="006E66F7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627C26">
        <w:t>Prof</w:t>
      </w:r>
      <w:r w:rsidR="00B64975">
        <w:t>. Dr. Yasemin TOKEM</w:t>
      </w:r>
    </w:p>
    <w:p w:rsidR="0029552D" w:rsidRDefault="0029552D" w:rsidP="005F03C5"/>
    <w:p w:rsidR="006061DF" w:rsidRDefault="006061DF" w:rsidP="005F03C5"/>
    <w:p w:rsidR="005421CD" w:rsidRDefault="00665365" w:rsidP="005F03C5">
      <w:r>
        <w:rPr>
          <w:b/>
        </w:rPr>
        <w:t>TURİZM FAKÜLTESİ.</w:t>
      </w:r>
      <w:r w:rsidR="008E2A6F">
        <w:rPr>
          <w:b/>
        </w:rPr>
        <w:tab/>
      </w:r>
      <w:r w:rsidR="008E2A6F">
        <w:rPr>
          <w:b/>
        </w:rPr>
        <w:tab/>
      </w:r>
      <w:r w:rsidR="008E2A6F">
        <w:rPr>
          <w:b/>
        </w:rPr>
        <w:tab/>
      </w:r>
      <w:r w:rsidR="0006657F">
        <w:rPr>
          <w:b/>
        </w:rPr>
        <w:tab/>
      </w:r>
      <w:proofErr w:type="gramStart"/>
      <w:r>
        <w:rPr>
          <w:b/>
        </w:rPr>
        <w:t>DİŞ HEKİMLİĞİ FAK.</w:t>
      </w:r>
      <w:proofErr w:type="gramEnd"/>
      <w:r w:rsidR="008E2A6F">
        <w:rPr>
          <w:b/>
        </w:rPr>
        <w:tab/>
      </w:r>
    </w:p>
    <w:p w:rsidR="006061DF" w:rsidRPr="00377414" w:rsidRDefault="00665365" w:rsidP="005F03C5">
      <w:pPr>
        <w:rPr>
          <w:b/>
        </w:rPr>
      </w:pPr>
      <w:r w:rsidRPr="00416773">
        <w:t>Prof. Dr. Zafer ÖTER</w:t>
      </w:r>
      <w:r w:rsidR="005421CD">
        <w:rPr>
          <w:b/>
        </w:rPr>
        <w:tab/>
      </w:r>
      <w:r w:rsidR="005421CD">
        <w:rPr>
          <w:b/>
        </w:rPr>
        <w:tab/>
      </w:r>
      <w:r w:rsidR="006061DF">
        <w:rPr>
          <w:b/>
        </w:rPr>
        <w:tab/>
      </w:r>
      <w:r w:rsidR="00AF7194">
        <w:rPr>
          <w:b/>
        </w:rPr>
        <w:tab/>
      </w:r>
      <w:r>
        <w:rPr>
          <w:b/>
        </w:rPr>
        <w:tab/>
      </w:r>
      <w:r w:rsidRPr="00665365">
        <w:t>Doç. Dr. Ender AKAN</w:t>
      </w:r>
    </w:p>
    <w:p w:rsidR="00377414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29552D" w:rsidP="005F03C5"/>
    <w:p w:rsidR="0029552D" w:rsidRDefault="0029552D" w:rsidP="005F03C5">
      <w:pPr>
        <w:rPr>
          <w:b/>
        </w:rPr>
      </w:pPr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278B">
        <w:rPr>
          <w:b/>
        </w:rPr>
        <w:t>SAĞLIK BİLİMLERİ ENS.</w:t>
      </w:r>
    </w:p>
    <w:p w:rsidR="0029552D" w:rsidRPr="0029552D" w:rsidRDefault="0029552D" w:rsidP="005F03C5">
      <w:r>
        <w:t>Doç. Dr. Mehmet BAHÇEKAPILI</w:t>
      </w:r>
      <w:r>
        <w:tab/>
      </w:r>
      <w:r>
        <w:tab/>
      </w:r>
      <w:r>
        <w:tab/>
      </w:r>
      <w:r w:rsidR="00AD278B">
        <w:t>Doç. Dr. Hatice YILDIRIM SARI</w:t>
      </w:r>
      <w:r w:rsidR="00AD278B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proofErr w:type="gramStart"/>
      <w:r>
        <w:rPr>
          <w:b/>
        </w:rPr>
        <w:t>MÜHENDİSLİK VE MİMARLIK FAK.</w:t>
      </w:r>
      <w:proofErr w:type="gramEnd"/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006B34" w:rsidRDefault="00006B34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AF7194">
        <w:rPr>
          <w:b/>
        </w:rPr>
        <w:t>SOSYAL BİLİMLER ENSTİTÜSÜ</w:t>
      </w:r>
    </w:p>
    <w:p w:rsidR="00671A0D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r w:rsidR="00AF7194">
        <w:t>Doç. Dr. Özer KÜPELİ</w:t>
      </w:r>
    </w:p>
    <w:p w:rsidR="007D5E91" w:rsidRDefault="007D5E91" w:rsidP="005F03C5"/>
    <w:p w:rsidR="00671A0D" w:rsidRPr="008D5516" w:rsidRDefault="00671A0D" w:rsidP="005F03C5"/>
    <w:p w:rsidR="00377414" w:rsidRPr="00377414" w:rsidRDefault="00DE73C1" w:rsidP="005F03C5">
      <w:pPr>
        <w:rPr>
          <w:b/>
        </w:rPr>
      </w:pPr>
      <w:r>
        <w:rPr>
          <w:b/>
        </w:rPr>
        <w:t>İKTİSADİ VE İDARİ BİLİMLER FAK.</w:t>
      </w:r>
      <w:r w:rsidR="006061DF">
        <w:rPr>
          <w:b/>
        </w:rPr>
        <w:tab/>
      </w:r>
      <w:r>
        <w:rPr>
          <w:b/>
        </w:rPr>
        <w:tab/>
      </w:r>
      <w:r w:rsidR="003D77B4">
        <w:rPr>
          <w:b/>
        </w:rPr>
        <w:t>SU ÜRÜNLERİ FAKÜLTESİ</w:t>
      </w:r>
    </w:p>
    <w:p w:rsidR="00377414" w:rsidRDefault="00DE73C1" w:rsidP="005F03C5">
      <w:r>
        <w:t>Doç. Dr. Sedef EYLEMER</w:t>
      </w:r>
      <w:r w:rsidR="006061DF">
        <w:tab/>
      </w:r>
      <w:r w:rsidR="006061DF">
        <w:tab/>
      </w:r>
      <w:r>
        <w:tab/>
      </w:r>
      <w:r>
        <w:tab/>
      </w:r>
      <w:r w:rsidR="009863D5">
        <w:t xml:space="preserve">Dr. Öğretim Üyesi </w:t>
      </w:r>
      <w:r w:rsidR="003D77B4">
        <w:t>Erhan IRMAK</w:t>
      </w:r>
    </w:p>
    <w:p w:rsidR="006061DF" w:rsidRDefault="006061DF" w:rsidP="005F03C5"/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7D5E91">
        <w:rPr>
          <w:b/>
        </w:rPr>
        <w:t>FEN BİLİMLERİ ENSTİTÜSÜ</w:t>
      </w:r>
    </w:p>
    <w:p w:rsidR="004542D2" w:rsidRDefault="00DE73C1" w:rsidP="005F03C5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9863D5">
        <w:t xml:space="preserve">Dr. Öğretim Üyesi </w:t>
      </w:r>
      <w:r w:rsidR="007D5E91">
        <w:t>Fethullah GÜNEŞ</w:t>
      </w:r>
    </w:p>
    <w:p w:rsidR="004542D2" w:rsidRDefault="00771453" w:rsidP="005F03C5">
      <w:r>
        <w:tab/>
      </w:r>
      <w:r>
        <w:tab/>
      </w:r>
      <w:r>
        <w:tab/>
      </w:r>
      <w:r>
        <w:tab/>
      </w:r>
      <w:r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405D9F">
        <w:t>Sevil GÜLBAHAR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p w:rsidR="00B64975" w:rsidRPr="00B64975" w:rsidRDefault="00B64975" w:rsidP="00B64975"/>
    <w:p w:rsidR="007E4382" w:rsidRPr="00B64975" w:rsidRDefault="007E4382" w:rsidP="00B64975">
      <w:pPr>
        <w:tabs>
          <w:tab w:val="left" w:pos="3465"/>
        </w:tabs>
      </w:pPr>
    </w:p>
    <w:sectPr w:rsidR="007E4382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EE" w:rsidRDefault="00E438EE">
      <w:r>
        <w:separator/>
      </w:r>
    </w:p>
  </w:endnote>
  <w:endnote w:type="continuationSeparator" w:id="0">
    <w:p w:rsidR="00E438EE" w:rsidRDefault="00E4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E438EE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D8" w:rsidRDefault="00E438EE">
    <w:pPr>
      <w:pStyle w:val="Altbilgi"/>
    </w:pPr>
  </w:p>
  <w:p w:rsidR="00ED22D8" w:rsidRDefault="00E438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EE" w:rsidRDefault="00E438EE">
      <w:r>
        <w:separator/>
      </w:r>
    </w:p>
  </w:footnote>
  <w:footnote w:type="continuationSeparator" w:id="0">
    <w:p w:rsidR="00E438EE" w:rsidRDefault="00E43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E438E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2"/>
  </w:num>
  <w:num w:numId="14">
    <w:abstractNumId w:val="16"/>
  </w:num>
  <w:num w:numId="15">
    <w:abstractNumId w:val="0"/>
  </w:num>
  <w:num w:numId="16">
    <w:abstractNumId w:val="4"/>
  </w:num>
  <w:num w:numId="17">
    <w:abstractNumId w:val="9"/>
  </w:num>
  <w:num w:numId="18">
    <w:abstractNumId w:val="8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2302"/>
    <w:rsid w:val="00345FCD"/>
    <w:rsid w:val="00350CF7"/>
    <w:rsid w:val="0035129E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5C53"/>
    <w:rsid w:val="003D77B4"/>
    <w:rsid w:val="003E0771"/>
    <w:rsid w:val="003E76B6"/>
    <w:rsid w:val="003F3E24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C130D"/>
    <w:rsid w:val="004C4849"/>
    <w:rsid w:val="004D672B"/>
    <w:rsid w:val="004E7719"/>
    <w:rsid w:val="004F4471"/>
    <w:rsid w:val="00507118"/>
    <w:rsid w:val="00507F5A"/>
    <w:rsid w:val="005275EF"/>
    <w:rsid w:val="00541A08"/>
    <w:rsid w:val="005421CD"/>
    <w:rsid w:val="005513DC"/>
    <w:rsid w:val="00571E44"/>
    <w:rsid w:val="00573815"/>
    <w:rsid w:val="00576401"/>
    <w:rsid w:val="00576B8E"/>
    <w:rsid w:val="0058156A"/>
    <w:rsid w:val="00592D8B"/>
    <w:rsid w:val="005C06BD"/>
    <w:rsid w:val="005C3A9A"/>
    <w:rsid w:val="005D025E"/>
    <w:rsid w:val="005D51C1"/>
    <w:rsid w:val="005E0681"/>
    <w:rsid w:val="005F03C5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71A0D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57A95"/>
    <w:rsid w:val="00771453"/>
    <w:rsid w:val="00785F5A"/>
    <w:rsid w:val="00792D9C"/>
    <w:rsid w:val="00794701"/>
    <w:rsid w:val="007D0A76"/>
    <w:rsid w:val="007D357C"/>
    <w:rsid w:val="007D5E91"/>
    <w:rsid w:val="007D60E2"/>
    <w:rsid w:val="007D7C77"/>
    <w:rsid w:val="007E4382"/>
    <w:rsid w:val="007F7C59"/>
    <w:rsid w:val="008115EA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5516"/>
    <w:rsid w:val="008E2A6F"/>
    <w:rsid w:val="008E333C"/>
    <w:rsid w:val="008E74F5"/>
    <w:rsid w:val="0090198A"/>
    <w:rsid w:val="00901A3B"/>
    <w:rsid w:val="0091203A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863D5"/>
    <w:rsid w:val="009965CC"/>
    <w:rsid w:val="009A05DB"/>
    <w:rsid w:val="009A6665"/>
    <w:rsid w:val="009E2BC3"/>
    <w:rsid w:val="009E6E94"/>
    <w:rsid w:val="009F0AF7"/>
    <w:rsid w:val="009F281C"/>
    <w:rsid w:val="009F4422"/>
    <w:rsid w:val="00A0023A"/>
    <w:rsid w:val="00A038E3"/>
    <w:rsid w:val="00A066AB"/>
    <w:rsid w:val="00A1598A"/>
    <w:rsid w:val="00A1771F"/>
    <w:rsid w:val="00A3210F"/>
    <w:rsid w:val="00A32A75"/>
    <w:rsid w:val="00A35B87"/>
    <w:rsid w:val="00A36BE2"/>
    <w:rsid w:val="00A448FA"/>
    <w:rsid w:val="00A62143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7BE8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D41"/>
    <w:rsid w:val="00E438EE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C7097"/>
    <w:rsid w:val="00ED1F69"/>
    <w:rsid w:val="00ED2EB7"/>
    <w:rsid w:val="00ED7E20"/>
    <w:rsid w:val="00EF2ABC"/>
    <w:rsid w:val="00EF759F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36</cp:revision>
  <cp:lastPrinted>2018-05-24T06:52:00Z</cp:lastPrinted>
  <dcterms:created xsi:type="dcterms:W3CDTF">2017-12-04T10:20:00Z</dcterms:created>
  <dcterms:modified xsi:type="dcterms:W3CDTF">2018-06-18T08:24:00Z</dcterms:modified>
</cp:coreProperties>
</file>